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7EA" w:rsidRPr="00DB06B1" w:rsidRDefault="00D547EA">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B06B1" w:rsidRPr="00DB06B1" w:rsidTr="00DB06B1">
        <w:trPr>
          <w:tblCellSpacing w:w="0" w:type="dxa"/>
        </w:trPr>
        <w:tc>
          <w:tcPr>
            <w:tcW w:w="3348" w:type="dxa"/>
            <w:shd w:val="clear" w:color="auto" w:fill="FFFFFF"/>
            <w:tcMar>
              <w:top w:w="0" w:type="dxa"/>
              <w:left w:w="108" w:type="dxa"/>
              <w:bottom w:w="0" w:type="dxa"/>
              <w:right w:w="108" w:type="dxa"/>
            </w:tcMar>
            <w:hideMark/>
          </w:tcPr>
          <w:p w:rsidR="00DB06B1" w:rsidRPr="00DB06B1" w:rsidRDefault="00DB06B1" w:rsidP="00DB06B1">
            <w:pPr>
              <w:spacing w:before="120" w:after="120" w:line="234" w:lineRule="atLeast"/>
              <w:jc w:val="center"/>
              <w:rPr>
                <w:rFonts w:ascii="Times New Roman" w:eastAsia="Times New Roman" w:hAnsi="Times New Roman" w:cs="Times New Roman"/>
                <w:color w:val="000000"/>
                <w:sz w:val="28"/>
                <w:szCs w:val="28"/>
              </w:rPr>
            </w:pPr>
            <w:r w:rsidRPr="00DB06B1">
              <w:rPr>
                <w:rFonts w:ascii="Times New Roman" w:eastAsia="Times New Roman" w:hAnsi="Times New Roman" w:cs="Times New Roman"/>
                <w:b/>
                <w:bCs/>
                <w:color w:val="000000"/>
                <w:sz w:val="28"/>
                <w:szCs w:val="28"/>
                <w:lang w:val="vi-VN"/>
              </w:rPr>
              <w:t>BỘ GIÁO DỤC VÀ ĐÀO TẠO</w:t>
            </w:r>
            <w:r w:rsidRPr="00DB06B1">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DB06B1" w:rsidRPr="00DB06B1" w:rsidRDefault="00DB06B1" w:rsidP="00DB06B1">
            <w:pPr>
              <w:spacing w:before="120" w:after="120" w:line="234" w:lineRule="atLeast"/>
              <w:jc w:val="center"/>
              <w:rPr>
                <w:rFonts w:ascii="Times New Roman" w:eastAsia="Times New Roman" w:hAnsi="Times New Roman" w:cs="Times New Roman"/>
                <w:color w:val="000000"/>
                <w:sz w:val="28"/>
                <w:szCs w:val="28"/>
              </w:rPr>
            </w:pPr>
            <w:r w:rsidRPr="00DB06B1">
              <w:rPr>
                <w:rFonts w:ascii="Times New Roman" w:eastAsia="Times New Roman" w:hAnsi="Times New Roman" w:cs="Times New Roman"/>
                <w:b/>
                <w:bCs/>
                <w:color w:val="000000"/>
                <w:sz w:val="28"/>
                <w:szCs w:val="28"/>
                <w:lang w:val="vi-VN"/>
              </w:rPr>
              <w:t>CỘNG HÒA XÃ HỘI CHỦ NGHĨA VIỆT NAM</w:t>
            </w:r>
            <w:r w:rsidRPr="00DB06B1">
              <w:rPr>
                <w:rFonts w:ascii="Times New Roman" w:eastAsia="Times New Roman" w:hAnsi="Times New Roman" w:cs="Times New Roman"/>
                <w:b/>
                <w:bCs/>
                <w:color w:val="000000"/>
                <w:sz w:val="28"/>
                <w:szCs w:val="28"/>
                <w:lang w:val="vi-VN"/>
              </w:rPr>
              <w:br/>
              <w:t>Độc lập - Tự do - Hạnh phúc </w:t>
            </w:r>
            <w:r w:rsidRPr="00DB06B1">
              <w:rPr>
                <w:rFonts w:ascii="Times New Roman" w:eastAsia="Times New Roman" w:hAnsi="Times New Roman" w:cs="Times New Roman"/>
                <w:b/>
                <w:bCs/>
                <w:color w:val="000000"/>
                <w:sz w:val="28"/>
                <w:szCs w:val="28"/>
                <w:lang w:val="vi-VN"/>
              </w:rPr>
              <w:br/>
              <w:t>---------------</w:t>
            </w:r>
          </w:p>
        </w:tc>
      </w:tr>
      <w:tr w:rsidR="00DB06B1" w:rsidRPr="00DB06B1" w:rsidTr="00DB06B1">
        <w:trPr>
          <w:tblCellSpacing w:w="0" w:type="dxa"/>
        </w:trPr>
        <w:tc>
          <w:tcPr>
            <w:tcW w:w="3348" w:type="dxa"/>
            <w:shd w:val="clear" w:color="auto" w:fill="FFFFFF"/>
            <w:tcMar>
              <w:top w:w="0" w:type="dxa"/>
              <w:left w:w="108" w:type="dxa"/>
              <w:bottom w:w="0" w:type="dxa"/>
              <w:right w:w="108" w:type="dxa"/>
            </w:tcMar>
            <w:hideMark/>
          </w:tcPr>
          <w:p w:rsidR="00DB06B1" w:rsidRPr="00DB06B1" w:rsidRDefault="00DB06B1" w:rsidP="00DB06B1">
            <w:pPr>
              <w:spacing w:before="120" w:after="120" w:line="234" w:lineRule="atLeast"/>
              <w:jc w:val="center"/>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Số: </w:t>
            </w:r>
            <w:r w:rsidRPr="00DB06B1">
              <w:rPr>
                <w:rFonts w:ascii="Times New Roman" w:eastAsia="Times New Roman" w:hAnsi="Times New Roman" w:cs="Times New Roman"/>
                <w:color w:val="000000"/>
                <w:sz w:val="28"/>
                <w:szCs w:val="28"/>
              </w:rPr>
              <w:t>07/2019</w:t>
            </w:r>
            <w:r w:rsidRPr="00DB06B1">
              <w:rPr>
                <w:rFonts w:ascii="Times New Roman" w:eastAsia="Times New Roman" w:hAnsi="Times New Roman" w:cs="Times New Roman"/>
                <w:color w:val="000000"/>
                <w:sz w:val="28"/>
                <w:szCs w:val="28"/>
                <w:lang w:val="vi-VN"/>
              </w:rPr>
              <w:t>/</w:t>
            </w:r>
            <w:r w:rsidRPr="00DB06B1">
              <w:rPr>
                <w:rFonts w:ascii="Times New Roman" w:eastAsia="Times New Roman" w:hAnsi="Times New Roman" w:cs="Times New Roman"/>
                <w:color w:val="000000"/>
                <w:sz w:val="28"/>
                <w:szCs w:val="28"/>
              </w:rPr>
              <w:t>TT-</w:t>
            </w:r>
            <w:r w:rsidRPr="00DB06B1">
              <w:rPr>
                <w:rFonts w:ascii="Times New Roman" w:eastAsia="Times New Roman" w:hAnsi="Times New Roman" w:cs="Times New Roman"/>
                <w:color w:val="000000"/>
                <w:sz w:val="28"/>
                <w:szCs w:val="28"/>
                <w:lang w:val="vi-VN"/>
              </w:rPr>
              <w:t>BGDĐT</w:t>
            </w:r>
          </w:p>
        </w:tc>
        <w:tc>
          <w:tcPr>
            <w:tcW w:w="5508" w:type="dxa"/>
            <w:shd w:val="clear" w:color="auto" w:fill="FFFFFF"/>
            <w:tcMar>
              <w:top w:w="0" w:type="dxa"/>
              <w:left w:w="108" w:type="dxa"/>
              <w:bottom w:w="0" w:type="dxa"/>
              <w:right w:w="108" w:type="dxa"/>
            </w:tcMar>
            <w:hideMark/>
          </w:tcPr>
          <w:p w:rsidR="00DB06B1" w:rsidRPr="00DB06B1" w:rsidRDefault="00DB06B1" w:rsidP="00DB06B1">
            <w:pPr>
              <w:spacing w:before="120" w:after="120" w:line="234" w:lineRule="atLeast"/>
              <w:jc w:val="right"/>
              <w:rPr>
                <w:rFonts w:ascii="Times New Roman" w:eastAsia="Times New Roman" w:hAnsi="Times New Roman" w:cs="Times New Roman"/>
                <w:color w:val="000000"/>
                <w:sz w:val="28"/>
                <w:szCs w:val="28"/>
              </w:rPr>
            </w:pPr>
            <w:r w:rsidRPr="00DB06B1">
              <w:rPr>
                <w:rFonts w:ascii="Times New Roman" w:eastAsia="Times New Roman" w:hAnsi="Times New Roman" w:cs="Times New Roman"/>
                <w:i/>
                <w:iCs/>
                <w:color w:val="000000"/>
                <w:sz w:val="28"/>
                <w:szCs w:val="28"/>
                <w:lang w:val="vi-VN"/>
              </w:rPr>
              <w:t>Hà Nội, ngày </w:t>
            </w:r>
            <w:r w:rsidRPr="00DB06B1">
              <w:rPr>
                <w:rFonts w:ascii="Times New Roman" w:eastAsia="Times New Roman" w:hAnsi="Times New Roman" w:cs="Times New Roman"/>
                <w:i/>
                <w:iCs/>
                <w:color w:val="000000"/>
                <w:sz w:val="28"/>
                <w:szCs w:val="28"/>
              </w:rPr>
              <w:t>02</w:t>
            </w:r>
            <w:r w:rsidRPr="00DB06B1">
              <w:rPr>
                <w:rFonts w:ascii="Times New Roman" w:eastAsia="Times New Roman" w:hAnsi="Times New Roman" w:cs="Times New Roman"/>
                <w:i/>
                <w:iCs/>
                <w:color w:val="000000"/>
                <w:sz w:val="28"/>
                <w:szCs w:val="28"/>
                <w:lang w:val="vi-VN"/>
              </w:rPr>
              <w:t> tháng 5 năm 201</w:t>
            </w:r>
            <w:r w:rsidRPr="00DB06B1">
              <w:rPr>
                <w:rFonts w:ascii="Times New Roman" w:eastAsia="Times New Roman" w:hAnsi="Times New Roman" w:cs="Times New Roman"/>
                <w:i/>
                <w:iCs/>
                <w:color w:val="000000"/>
                <w:sz w:val="28"/>
                <w:szCs w:val="28"/>
              </w:rPr>
              <w:t>9</w:t>
            </w:r>
          </w:p>
        </w:tc>
      </w:tr>
    </w:tbl>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rPr>
        <w:t> </w:t>
      </w:r>
    </w:p>
    <w:p w:rsidR="00DB06B1" w:rsidRPr="00DB06B1" w:rsidRDefault="00DB06B1" w:rsidP="00DB06B1">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DB06B1">
        <w:rPr>
          <w:rFonts w:ascii="Times New Roman" w:eastAsia="Times New Roman" w:hAnsi="Times New Roman" w:cs="Times New Roman"/>
          <w:b/>
          <w:bCs/>
          <w:color w:val="000000"/>
          <w:sz w:val="28"/>
          <w:szCs w:val="28"/>
          <w:lang w:val="vi-VN"/>
        </w:rPr>
        <w:t>THÔNG TƯ</w:t>
      </w:r>
      <w:bookmarkEnd w:id="0"/>
    </w:p>
    <w:p w:rsidR="00DB06B1" w:rsidRPr="00DB06B1" w:rsidRDefault="00DB06B1" w:rsidP="00DB06B1">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DB06B1">
        <w:rPr>
          <w:rFonts w:ascii="Times New Roman" w:eastAsia="Times New Roman" w:hAnsi="Times New Roman" w:cs="Times New Roman"/>
          <w:color w:val="000000"/>
          <w:sz w:val="28"/>
          <w:szCs w:val="28"/>
          <w:lang w:val="vi-VN"/>
        </w:rPr>
        <w:t>QUY ĐỊNH MÃ SỐ, TIÊU CHUẨN CHỨC DANH NGHỀ NGHIỆP VÀ XẾP LƯƠNG NHÂN VIÊN GIÁO VỤ TRONG TRƯỜNG PHỔ THÔNG DÂN TỘC NỘI TRÚ; TRƯỜNG TRUNG HỌC PHỔ THÔNG CHUYÊN; TRƯỜNG DỰ BỊ ĐẠI HỌC VÀ TRƯỜNG DÀNH CHO NGƯỜI KHUYẾT TẬT CÔNG LẬP</w:t>
      </w:r>
      <w:bookmarkEnd w:id="1"/>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i/>
          <w:iCs/>
          <w:color w:val="000000"/>
          <w:sz w:val="28"/>
          <w:szCs w:val="28"/>
          <w:lang w:val="vi-VN"/>
        </w:rPr>
        <w:t>Căn cứ Luật Giáo dục ngày 14 tháng 6 năm 2005; Luật sửa đổi, bổ sung một số điều của Luật Giáo dục ngày 25 tháng 11 năm 2009;</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i/>
          <w:iCs/>
          <w:color w:val="000000"/>
          <w:sz w:val="28"/>
          <w:szCs w:val="28"/>
          <w:lang w:val="vi-VN"/>
        </w:rPr>
        <w:t>Căn cứ Luật Viên chức ngày 15 tháng 11 năm 2010;</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i/>
          <w:iCs/>
          <w:color w:val="000000"/>
          <w:sz w:val="28"/>
          <w:szCs w:val="28"/>
          <w:lang w:val="vi-VN"/>
        </w:rPr>
        <w:t>Căn cứ Nghị định số 29/2012/NĐ-CP ngày 12 tháng 4 năm 2012 của Chính phủ quy định về tuyển dụng, sử dụng và quản lý viên chức;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i/>
          <w:iCs/>
          <w:color w:val="000000"/>
          <w:sz w:val="28"/>
          <w:szCs w:val="28"/>
          <w:lang w:val="vi-VN"/>
        </w:rPr>
        <w:lastRenderedPageBreak/>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i/>
          <w:iCs/>
          <w:color w:val="000000"/>
          <w:sz w:val="28"/>
          <w:szCs w:val="28"/>
          <w:lang w:val="vi-VN"/>
        </w:rPr>
        <w:t>Căn cứ Nghị định số 69/2017/NĐ-CP ngày 25 tháng 05 năm 2017 của Chính phủ quy định chức năng, nhiệm vụ, quyền hạn và cơ cấu tổ chức của Bộ Giáo dục và Đào tạo;</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i/>
          <w:iCs/>
          <w:color w:val="000000"/>
          <w:sz w:val="28"/>
          <w:szCs w:val="28"/>
          <w:lang w:val="vi-VN"/>
        </w:rPr>
        <w:t>Theo đề nghị của Cục trưởng Cục Nhà giáo và Cán bộ quản lý giáo dục;</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i/>
          <w:iCs/>
          <w:color w:val="000000"/>
          <w:sz w:val="28"/>
          <w:szCs w:val="28"/>
          <w:lang w:val="vi-VN"/>
        </w:rPr>
        <w:t>Bộ trưởng Bộ Giáo dục và Đào tạo ban hành Thông tư quy định mã số, tiêu chuẩn chức danh nghề nghiệp và xếp lương nhân viên giáo vụ trong trường phổ thông dân tộc nội trú; trường trung học phổ thông chuyên; trường dự bị đại học và trường dành cho người khuyết tật công lập.</w:t>
      </w:r>
    </w:p>
    <w:p w:rsidR="00DB06B1" w:rsidRPr="00DB06B1" w:rsidRDefault="00DB06B1" w:rsidP="00DB06B1">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DB06B1">
        <w:rPr>
          <w:rFonts w:ascii="Times New Roman" w:eastAsia="Times New Roman" w:hAnsi="Times New Roman" w:cs="Times New Roman"/>
          <w:b/>
          <w:bCs/>
          <w:color w:val="000000"/>
          <w:sz w:val="28"/>
          <w:szCs w:val="28"/>
          <w:lang w:val="vi-VN"/>
        </w:rPr>
        <w:t>Chương I</w:t>
      </w:r>
      <w:bookmarkEnd w:id="2"/>
    </w:p>
    <w:p w:rsidR="00DB06B1" w:rsidRPr="00DB06B1" w:rsidRDefault="00DB06B1" w:rsidP="00DB06B1">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DB06B1">
        <w:rPr>
          <w:rFonts w:ascii="Times New Roman" w:eastAsia="Times New Roman" w:hAnsi="Times New Roman" w:cs="Times New Roman"/>
          <w:b/>
          <w:bCs/>
          <w:color w:val="000000"/>
          <w:sz w:val="28"/>
          <w:szCs w:val="28"/>
          <w:lang w:val="vi-VN"/>
        </w:rPr>
        <w:t>NHỮNG QUY ĐỊNH CHUNG</w:t>
      </w:r>
      <w:bookmarkEnd w:id="3"/>
    </w:p>
    <w:p w:rsidR="00DB06B1" w:rsidRPr="00DB06B1" w:rsidRDefault="00DB06B1" w:rsidP="00DB06B1">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DB06B1">
        <w:rPr>
          <w:rFonts w:ascii="Times New Roman" w:eastAsia="Times New Roman" w:hAnsi="Times New Roman" w:cs="Times New Roman"/>
          <w:b/>
          <w:bCs/>
          <w:color w:val="000000"/>
          <w:sz w:val="28"/>
          <w:szCs w:val="28"/>
          <w:lang w:val="vi-VN"/>
        </w:rPr>
        <w:t>Điều 1. Phạm vi điều chỉnh và đối tượng áp dụng</w:t>
      </w:r>
      <w:bookmarkEnd w:id="4"/>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1</w:t>
      </w:r>
      <w:bookmarkStart w:id="5" w:name="_GoBack"/>
      <w:r w:rsidRPr="00DB06B1">
        <w:rPr>
          <w:rFonts w:ascii="Times New Roman" w:eastAsia="Times New Roman" w:hAnsi="Times New Roman" w:cs="Times New Roman"/>
          <w:color w:val="000000"/>
          <w:sz w:val="28"/>
          <w:szCs w:val="28"/>
          <w:lang w:val="vi-VN"/>
        </w:rPr>
        <w:t>. Thông tư này quy định mã số, tiêu chuẩn chức danh nghề nghiệp và bổ nhiệm, xếp lương nhân viên giáo vụ trong trường phổ thông dân tộc nội trú (cấp huyện và cấp tỉnh); trường trung học phổ thông chuyên; </w:t>
      </w:r>
      <w:r w:rsidRPr="00DB06B1">
        <w:rPr>
          <w:rFonts w:ascii="Times New Roman" w:eastAsia="Times New Roman" w:hAnsi="Times New Roman" w:cs="Times New Roman"/>
          <w:color w:val="000000"/>
          <w:sz w:val="28"/>
          <w:szCs w:val="28"/>
        </w:rPr>
        <w:t>tr</w:t>
      </w:r>
      <w:r w:rsidRPr="00DB06B1">
        <w:rPr>
          <w:rFonts w:ascii="Times New Roman" w:eastAsia="Times New Roman" w:hAnsi="Times New Roman" w:cs="Times New Roman"/>
          <w:color w:val="000000"/>
          <w:sz w:val="28"/>
          <w:szCs w:val="28"/>
          <w:lang w:val="vi-VN"/>
        </w:rPr>
        <w:t>ường dự bị đại học và trường dành cho người khuyết tật công lập.</w:t>
      </w:r>
    </w:p>
    <w:bookmarkEnd w:id="5"/>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lastRenderedPageBreak/>
        <w:t>2. Thông tư này áp dụng đối với nhân viên giáo vụ trong trường phổ thông dân tộc nội trú (cấp huyện và cấp tỉnh); trường trung học phổ thông chuyên; trường dự bị đại học và trường dành cho người khuyết tật công lập.</w:t>
      </w:r>
    </w:p>
    <w:p w:rsidR="00DB06B1" w:rsidRPr="00DB06B1" w:rsidRDefault="00DB06B1" w:rsidP="00DB06B1">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DB06B1">
        <w:rPr>
          <w:rFonts w:ascii="Times New Roman" w:eastAsia="Times New Roman" w:hAnsi="Times New Roman" w:cs="Times New Roman"/>
          <w:b/>
          <w:bCs/>
          <w:color w:val="000000"/>
          <w:sz w:val="28"/>
          <w:szCs w:val="28"/>
          <w:lang w:val="vi-VN"/>
        </w:rPr>
        <w:t>Điều 2. Mã số chức danh nghề nghiệp nhân viên giáo vụ</w:t>
      </w:r>
      <w:bookmarkEnd w:id="6"/>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Nhân viên giáo vụ - Mã số: </w:t>
      </w:r>
      <w:r w:rsidRPr="00DB06B1">
        <w:rPr>
          <w:rFonts w:ascii="Times New Roman" w:eastAsia="Times New Roman" w:hAnsi="Times New Roman" w:cs="Times New Roman"/>
          <w:color w:val="000000"/>
          <w:sz w:val="28"/>
          <w:szCs w:val="28"/>
        </w:rPr>
        <w:t>V</w:t>
      </w:r>
      <w:r w:rsidRPr="00DB06B1">
        <w:rPr>
          <w:rFonts w:ascii="Times New Roman" w:eastAsia="Times New Roman" w:hAnsi="Times New Roman" w:cs="Times New Roman"/>
          <w:color w:val="000000"/>
          <w:sz w:val="28"/>
          <w:szCs w:val="28"/>
          <w:lang w:val="vi-VN"/>
        </w:rPr>
        <w:t>.07.07.21</w:t>
      </w:r>
    </w:p>
    <w:p w:rsidR="00DB06B1" w:rsidRPr="00DB06B1" w:rsidRDefault="00DB06B1" w:rsidP="00DB06B1">
      <w:pPr>
        <w:shd w:val="clear" w:color="auto" w:fill="FFFFFF"/>
        <w:spacing w:after="0" w:line="234" w:lineRule="atLeast"/>
        <w:rPr>
          <w:rFonts w:ascii="Times New Roman" w:eastAsia="Times New Roman" w:hAnsi="Times New Roman" w:cs="Times New Roman"/>
          <w:color w:val="000000"/>
          <w:sz w:val="28"/>
          <w:szCs w:val="28"/>
        </w:rPr>
      </w:pPr>
      <w:bookmarkStart w:id="7" w:name="chuong_2"/>
      <w:r w:rsidRPr="00DB06B1">
        <w:rPr>
          <w:rFonts w:ascii="Times New Roman" w:eastAsia="Times New Roman" w:hAnsi="Times New Roman" w:cs="Times New Roman"/>
          <w:b/>
          <w:bCs/>
          <w:color w:val="000000"/>
          <w:sz w:val="28"/>
          <w:szCs w:val="28"/>
          <w:lang w:val="vi-VN"/>
        </w:rPr>
        <w:t>Chương II</w:t>
      </w:r>
      <w:bookmarkEnd w:id="7"/>
    </w:p>
    <w:p w:rsidR="00DB06B1" w:rsidRPr="00DB06B1" w:rsidRDefault="00DB06B1" w:rsidP="00DB06B1">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chuong_2_name"/>
      <w:r w:rsidRPr="00DB06B1">
        <w:rPr>
          <w:rFonts w:ascii="Times New Roman" w:eastAsia="Times New Roman" w:hAnsi="Times New Roman" w:cs="Times New Roman"/>
          <w:b/>
          <w:bCs/>
          <w:color w:val="000000"/>
          <w:sz w:val="28"/>
          <w:szCs w:val="28"/>
          <w:lang w:val="vi-VN"/>
        </w:rPr>
        <w:t>TIÊU CHUẨN CHỨC DANH NGHỀ NGHIỆP, BỔ NHIỆM VÀ XẾP LƯƠNG THEO CHỨC DANH NGHỀ NGHIỆP</w:t>
      </w:r>
      <w:bookmarkEnd w:id="8"/>
    </w:p>
    <w:p w:rsidR="00DB06B1" w:rsidRPr="00DB06B1" w:rsidRDefault="00DB06B1" w:rsidP="00DB06B1">
      <w:pPr>
        <w:shd w:val="clear" w:color="auto" w:fill="FFFFFF"/>
        <w:spacing w:after="0" w:line="234" w:lineRule="atLeast"/>
        <w:rPr>
          <w:rFonts w:ascii="Times New Roman" w:eastAsia="Times New Roman" w:hAnsi="Times New Roman" w:cs="Times New Roman"/>
          <w:color w:val="000000"/>
          <w:sz w:val="28"/>
          <w:szCs w:val="28"/>
        </w:rPr>
      </w:pPr>
      <w:bookmarkStart w:id="9" w:name="dieu_3"/>
      <w:r w:rsidRPr="00DB06B1">
        <w:rPr>
          <w:rFonts w:ascii="Times New Roman" w:eastAsia="Times New Roman" w:hAnsi="Times New Roman" w:cs="Times New Roman"/>
          <w:b/>
          <w:bCs/>
          <w:color w:val="000000"/>
          <w:sz w:val="28"/>
          <w:szCs w:val="28"/>
          <w:lang w:val="vi-VN"/>
        </w:rPr>
        <w:t>Điều 3. Tiêu chuẩn chức danh nghề nghiệp nhân viên giáo vụ</w:t>
      </w:r>
      <w:bookmarkEnd w:id="9"/>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1. Nhiệm vụ</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a) Lập kế hoạch công tác giáo vụ hàng năm của nhà trường;</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b) Quản lý, theo dõi hệ thống hồ sơ, sổ sách của nhà trường liên quan đến học sinh;</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c) Phối hợp với giáo viên quản lý, theo dõi học sinh hàng ngày;</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d) Phối hợp với giáo viên chủ nhiệm tổng hợp kết quả học tập và rèn luyện của học sinh;</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đ) Thực hiện các nhiệm vụ được giao liên quan đến việc thi, kiểm tra (bao gồm: Lập danh sách các phòng thi, sơ đồ chỗ ngồi, tổng hợp kết quả thi...);</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e) Thực hiện công tác tuyển sinh theo nhiệm vụ được phân công;</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g) Liên hệ, trao đổi và thông tin với gia đình học sinh khi c</w:t>
      </w:r>
      <w:r w:rsidRPr="00DB06B1">
        <w:rPr>
          <w:rFonts w:ascii="Times New Roman" w:eastAsia="Times New Roman" w:hAnsi="Times New Roman" w:cs="Times New Roman"/>
          <w:color w:val="000000"/>
          <w:sz w:val="28"/>
          <w:szCs w:val="28"/>
        </w:rPr>
        <w:t>ầ</w:t>
      </w:r>
      <w:r w:rsidRPr="00DB06B1">
        <w:rPr>
          <w:rFonts w:ascii="Times New Roman" w:eastAsia="Times New Roman" w:hAnsi="Times New Roman" w:cs="Times New Roman"/>
          <w:color w:val="000000"/>
          <w:sz w:val="28"/>
          <w:szCs w:val="28"/>
          <w:lang w:val="vi-VN"/>
        </w:rPr>
        <w:t>n thiết;</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h) Lập báo cáo định kỳ, thường xuyên về công tác giáo vụ;</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lastRenderedPageBreak/>
        <w:t>i) Hoàn thành các chương trình bồi dưỡng; tự học, tự bồi dưỡng trau dồi đạo đức, nâng cao năng lực chuyên môn nghiệp vụ;</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k) Thực hiện các nhiệm vụ khác do hiệu trưởng phân công.</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2. Tiêu chuẩn về đạo đức nghề nghiệp</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a) Chấp hành các chủ trương, đường lối, chính sách của Đảng, pháp luật của nhà nước và các quy định của ngành;</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b) Trung thực, khách quan, có ý thức trau dồi đạo đức, nêu cao tinh thần trách nhiệm. Giữ gìn phẩm chất, danh dự, uy tín của cán bộ viên chức; đoàn kết, giúp đỡ đồng nghiệp và học sinh;</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c) Thực thi nhiệm vụ theo đúng quy chế, quy định, quy trình chuyên môn kỹ thuật và các quy định khác của pháp luật.</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3. Tiêu chuẩn về trình độ đào tạo, bồi dưỡng</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a) Có bằng tốt nghiệp cao đẳng sư phạm (hoặc có b</w:t>
      </w:r>
      <w:r w:rsidRPr="00DB06B1">
        <w:rPr>
          <w:rFonts w:ascii="Times New Roman" w:eastAsia="Times New Roman" w:hAnsi="Times New Roman" w:cs="Times New Roman"/>
          <w:color w:val="000000"/>
          <w:sz w:val="28"/>
          <w:szCs w:val="28"/>
        </w:rPr>
        <w:t>ằ</w:t>
      </w:r>
      <w:r w:rsidRPr="00DB06B1">
        <w:rPr>
          <w:rFonts w:ascii="Times New Roman" w:eastAsia="Times New Roman" w:hAnsi="Times New Roman" w:cs="Times New Roman"/>
          <w:color w:val="000000"/>
          <w:sz w:val="28"/>
          <w:szCs w:val="28"/>
          <w:lang w:val="vi-VN"/>
        </w:rPr>
        <w:t>ng tốt nghiệp cao đẳng các chuyên ngành khác phù hợp với vị trí việc làm giáo vụ) trở lên;</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b) Có trình độ ngoại ngữ bậc 1 theo quy định tại Thông tư số 01/2014/TT-BGDĐT ngày 24 tháng 01 năm 2014 của Bộ Giáo dục và Đào tạo ban hành khung năng lực ngoại ngữ 6 bậc dùng cho Việt Nam hoặc có chứng chỉ bồi dưỡng tiếng dân tộc đối với những địa phương yêu cầu sử dụng tiếng dân tộc;</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c)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lastRenderedPageBreak/>
        <w:t>d) Có chứng chỉ bồi dưỡng theo tiêu chuẩn chức danh nghề nghiệp nhân viên giáo vụ.</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4. Tiêu chuẩn về năng lực chuyên môn, nghiệp vụ</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a) Nắm vững chủ trương, đường lối, chính sách, pháp luật của Đảng, Nhà nước, quy định và yêu cầu của ngành, địa phương về giáo dục cấp học đang công tác;</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b) Thực hiện có hiệu quả kế hoạch, chương trình giáo dục của nhà trường;</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c) Có năng lực quản lý hồ sơ của nhà trường liên quan đến học sinh;</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d) Có kỹ năng theo dõi, quản lý và hỗ trợ học sinh;</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đ) Có kỹ năng phối hợp tổ chức thi, kiểm tra của nhà trường;</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e) Có kỹ năng ứng dụng công nghệ thông tin trong công việc;</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g) Có kỹ năng giao tiếp với giáo viên, học sinh và cha mẹ học sinh trong thực thi nhiệm vụ.</w:t>
      </w:r>
    </w:p>
    <w:p w:rsidR="00DB06B1" w:rsidRPr="00DB06B1" w:rsidRDefault="00DB06B1" w:rsidP="00DB06B1">
      <w:pPr>
        <w:shd w:val="clear" w:color="auto" w:fill="FFFFFF"/>
        <w:spacing w:after="0" w:line="234" w:lineRule="atLeast"/>
        <w:rPr>
          <w:rFonts w:ascii="Times New Roman" w:eastAsia="Times New Roman" w:hAnsi="Times New Roman" w:cs="Times New Roman"/>
          <w:color w:val="000000"/>
          <w:sz w:val="28"/>
          <w:szCs w:val="28"/>
        </w:rPr>
      </w:pPr>
      <w:bookmarkStart w:id="10" w:name="dieu_4"/>
      <w:r w:rsidRPr="00DB06B1">
        <w:rPr>
          <w:rFonts w:ascii="Times New Roman" w:eastAsia="Times New Roman" w:hAnsi="Times New Roman" w:cs="Times New Roman"/>
          <w:b/>
          <w:bCs/>
          <w:color w:val="000000"/>
          <w:sz w:val="28"/>
          <w:szCs w:val="28"/>
          <w:lang w:val="vi-VN"/>
        </w:rPr>
        <w:t>Điều 4. Nguyên tắc bổ nhiệm và xếp lương theo chức danh nghề nghiệp đối với nhân viên giáo vụ</w:t>
      </w:r>
      <w:bookmarkEnd w:id="10"/>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1. Việc bổ nhiệm vào chức danh nghề nghiệp đối với nhân viên giáo vụ quy định tại Thông tư này phải căn cứ vào vị trí việc làm, chức trách, nhiệm vụ, năng lực và chuyên môn nghiệp vụ của viên chức.</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2. Khi bổ nhiệm từ các ngạch công chức hoặc chức danh nghề nghiệp viên chức hiện giữ vào chức danh nghề nghiệp nhân viên giáo vụ không được kết hợp nâng bậc lương viên chức.</w:t>
      </w:r>
    </w:p>
    <w:p w:rsidR="00DB06B1" w:rsidRPr="00DB06B1" w:rsidRDefault="00DB06B1" w:rsidP="00DB06B1">
      <w:pPr>
        <w:shd w:val="clear" w:color="auto" w:fill="FFFFFF"/>
        <w:spacing w:after="0" w:line="234" w:lineRule="atLeast"/>
        <w:rPr>
          <w:rFonts w:ascii="Times New Roman" w:eastAsia="Times New Roman" w:hAnsi="Times New Roman" w:cs="Times New Roman"/>
          <w:color w:val="000000"/>
          <w:sz w:val="28"/>
          <w:szCs w:val="28"/>
        </w:rPr>
      </w:pPr>
      <w:bookmarkStart w:id="11" w:name="dieu_5"/>
      <w:r w:rsidRPr="00DB06B1">
        <w:rPr>
          <w:rFonts w:ascii="Times New Roman" w:eastAsia="Times New Roman" w:hAnsi="Times New Roman" w:cs="Times New Roman"/>
          <w:b/>
          <w:bCs/>
          <w:color w:val="000000"/>
          <w:sz w:val="28"/>
          <w:szCs w:val="28"/>
          <w:lang w:val="vi-VN"/>
        </w:rPr>
        <w:t>Điều 5. Bổ nhiệm chức danh nghề nghiệp nhân viên giáo vụ</w:t>
      </w:r>
      <w:bookmarkEnd w:id="11"/>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lastRenderedPageBreak/>
        <w:t>Bổ nhiệm vào chức danh nghề nghiệp nhân viên giáo vụ (mã số </w:t>
      </w:r>
      <w:r w:rsidRPr="00DB06B1">
        <w:rPr>
          <w:rFonts w:ascii="Times New Roman" w:eastAsia="Times New Roman" w:hAnsi="Times New Roman" w:cs="Times New Roman"/>
          <w:color w:val="000000"/>
          <w:sz w:val="28"/>
          <w:szCs w:val="28"/>
        </w:rPr>
        <w:t>V</w:t>
      </w:r>
      <w:r w:rsidRPr="00DB06B1">
        <w:rPr>
          <w:rFonts w:ascii="Times New Roman" w:eastAsia="Times New Roman" w:hAnsi="Times New Roman" w:cs="Times New Roman"/>
          <w:color w:val="000000"/>
          <w:sz w:val="28"/>
          <w:szCs w:val="28"/>
          <w:lang w:val="vi-VN"/>
        </w:rPr>
        <w:t>.07.07.21) đối với viên chức được tuyển dụng hoặc đang làm công tác giáo vụ </w:t>
      </w:r>
      <w:r w:rsidRPr="00DB06B1">
        <w:rPr>
          <w:rFonts w:ascii="Times New Roman" w:eastAsia="Times New Roman" w:hAnsi="Times New Roman" w:cs="Times New Roman"/>
          <w:color w:val="000000"/>
          <w:sz w:val="28"/>
          <w:szCs w:val="28"/>
        </w:rPr>
        <w:t>tr</w:t>
      </w:r>
      <w:r w:rsidRPr="00DB06B1">
        <w:rPr>
          <w:rFonts w:ascii="Times New Roman" w:eastAsia="Times New Roman" w:hAnsi="Times New Roman" w:cs="Times New Roman"/>
          <w:color w:val="000000"/>
          <w:sz w:val="28"/>
          <w:szCs w:val="28"/>
          <w:lang w:val="vi-VN"/>
        </w:rPr>
        <w:t>ong các trường trường phổ thông dân tộc nội trú (cấp huyện và cấp tỉnh); trường trung học phổ thông chuyên; trường dự bị đại học và trường dành cho người khuyết tật công lập, đủ tiêu chuẩn quy định tại Điều 3 Thông tư này.</w:t>
      </w:r>
    </w:p>
    <w:p w:rsidR="00DB06B1" w:rsidRPr="00DB06B1" w:rsidRDefault="00DB06B1" w:rsidP="00DB06B1">
      <w:pPr>
        <w:shd w:val="clear" w:color="auto" w:fill="FFFFFF"/>
        <w:spacing w:after="0" w:line="234" w:lineRule="atLeast"/>
        <w:rPr>
          <w:rFonts w:ascii="Times New Roman" w:eastAsia="Times New Roman" w:hAnsi="Times New Roman" w:cs="Times New Roman"/>
          <w:color w:val="000000"/>
          <w:sz w:val="28"/>
          <w:szCs w:val="28"/>
        </w:rPr>
      </w:pPr>
      <w:bookmarkStart w:id="12" w:name="dieu_6"/>
      <w:r w:rsidRPr="00DB06B1">
        <w:rPr>
          <w:rFonts w:ascii="Times New Roman" w:eastAsia="Times New Roman" w:hAnsi="Times New Roman" w:cs="Times New Roman"/>
          <w:b/>
          <w:bCs/>
          <w:color w:val="000000"/>
          <w:sz w:val="28"/>
          <w:szCs w:val="28"/>
          <w:lang w:val="vi-VN"/>
        </w:rPr>
        <w:t>Điều 6. Cách xếp lương</w:t>
      </w:r>
      <w:bookmarkEnd w:id="12"/>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1. Viên chức được bổ nhiệm vào chức danh nghề nghiệp nhân viên giáo vụ (mã số </w:t>
      </w:r>
      <w:r w:rsidRPr="00DB06B1">
        <w:rPr>
          <w:rFonts w:ascii="Times New Roman" w:eastAsia="Times New Roman" w:hAnsi="Times New Roman" w:cs="Times New Roman"/>
          <w:color w:val="000000"/>
          <w:sz w:val="28"/>
          <w:szCs w:val="28"/>
        </w:rPr>
        <w:t>V</w:t>
      </w:r>
      <w:r w:rsidRPr="00DB06B1">
        <w:rPr>
          <w:rFonts w:ascii="Times New Roman" w:eastAsia="Times New Roman" w:hAnsi="Times New Roman" w:cs="Times New Roman"/>
          <w:color w:val="000000"/>
          <w:sz w:val="28"/>
          <w:szCs w:val="28"/>
          <w:lang w:val="vi-VN"/>
        </w:rPr>
        <w:t>.07.07.21) quy định tại Thông tư này được áp dụng bảng lương viên chức loại A</w:t>
      </w:r>
      <w:r w:rsidRPr="00DB06B1">
        <w:rPr>
          <w:rFonts w:ascii="Times New Roman" w:eastAsia="Times New Roman" w:hAnsi="Times New Roman" w:cs="Times New Roman"/>
          <w:color w:val="000000"/>
          <w:sz w:val="28"/>
          <w:szCs w:val="28"/>
        </w:rPr>
        <w:t>0 </w:t>
      </w:r>
      <w:r w:rsidRPr="00DB06B1">
        <w:rPr>
          <w:rFonts w:ascii="Times New Roman" w:eastAsia="Times New Roman" w:hAnsi="Times New Roman" w:cs="Times New Roman"/>
          <w:color w:val="000000"/>
          <w:sz w:val="28"/>
          <w:szCs w:val="28"/>
          <w:lang w:val="vi-VN"/>
        </w:rPr>
        <w:t>tại bảng 3 (Bảng lương chuyên môn, nghiệp vụ đối với cán bộ, viên chức trong các đơn vị sự nghiệp của nhà nước) ban hành kèm theo Nghị định số 204/2004/NĐ-CP ngày 14/12/2004 của Chính phủ về ch</w:t>
      </w:r>
      <w:r w:rsidRPr="00DB06B1">
        <w:rPr>
          <w:rFonts w:ascii="Times New Roman" w:eastAsia="Times New Roman" w:hAnsi="Times New Roman" w:cs="Times New Roman"/>
          <w:color w:val="000000"/>
          <w:sz w:val="28"/>
          <w:szCs w:val="28"/>
        </w:rPr>
        <w:t>ế </w:t>
      </w:r>
      <w:r w:rsidRPr="00DB06B1">
        <w:rPr>
          <w:rFonts w:ascii="Times New Roman" w:eastAsia="Times New Roman" w:hAnsi="Times New Roman" w:cs="Times New Roman"/>
          <w:color w:val="000000"/>
          <w:sz w:val="28"/>
          <w:szCs w:val="28"/>
          <w:lang w:val="vi-VN"/>
        </w:rPr>
        <w:t>độ tiền lương đối với cán bộ, công chức, viên chức và lực lượng vũ trang (sau đây viết tắt là Nghị định số 204/2004/NĐ-CP).</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2. Việc xếp lương thực hiện như sau:</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a) Trường hợp có trình độ cao đẳng trở lên phù hợp với yêu cầu của vị trí việc làm nhân viên giáo vụ thì được bổ nhiệm vào chức danh nghề nghiệp nhân viên giáo vụ, nếu đang xếp lương theo viên chức loại A</w:t>
      </w:r>
      <w:r w:rsidRPr="00DB06B1">
        <w:rPr>
          <w:rFonts w:ascii="Times New Roman" w:eastAsia="Times New Roman" w:hAnsi="Times New Roman" w:cs="Times New Roman"/>
          <w:color w:val="000000"/>
          <w:sz w:val="28"/>
          <w:szCs w:val="28"/>
        </w:rPr>
        <w:t>0 </w:t>
      </w:r>
      <w:r w:rsidRPr="00DB06B1">
        <w:rPr>
          <w:rFonts w:ascii="Times New Roman" w:eastAsia="Times New Roman" w:hAnsi="Times New Roman" w:cs="Times New Roman"/>
          <w:color w:val="000000"/>
          <w:sz w:val="28"/>
          <w:szCs w:val="28"/>
          <w:lang w:val="vi-VN"/>
        </w:rPr>
        <w:t>ban hành kèm theo Nghị định số 204/2004/NĐ-CP thì tiếp tục xếp lương theo viên chức loại A</w:t>
      </w:r>
      <w:r w:rsidRPr="00DB06B1">
        <w:rPr>
          <w:rFonts w:ascii="Times New Roman" w:eastAsia="Times New Roman" w:hAnsi="Times New Roman" w:cs="Times New Roman"/>
          <w:color w:val="000000"/>
          <w:sz w:val="28"/>
          <w:szCs w:val="28"/>
        </w:rPr>
        <w:t>0 </w:t>
      </w:r>
      <w:r w:rsidRPr="00DB06B1">
        <w:rPr>
          <w:rFonts w:ascii="Times New Roman" w:eastAsia="Times New Roman" w:hAnsi="Times New Roman" w:cs="Times New Roman"/>
          <w:color w:val="000000"/>
          <w:sz w:val="28"/>
          <w:szCs w:val="28"/>
          <w:lang w:val="vi-VN"/>
        </w:rPr>
        <w:t>đ</w:t>
      </w:r>
      <w:r w:rsidRPr="00DB06B1">
        <w:rPr>
          <w:rFonts w:ascii="Times New Roman" w:eastAsia="Times New Roman" w:hAnsi="Times New Roman" w:cs="Times New Roman"/>
          <w:color w:val="000000"/>
          <w:sz w:val="28"/>
          <w:szCs w:val="28"/>
        </w:rPr>
        <w:t>ó</w:t>
      </w:r>
      <w:r w:rsidRPr="00DB06B1">
        <w:rPr>
          <w:rFonts w:ascii="Times New Roman" w:eastAsia="Times New Roman" w:hAnsi="Times New Roman" w:cs="Times New Roman"/>
          <w:color w:val="000000"/>
          <w:sz w:val="28"/>
          <w:szCs w:val="28"/>
          <w:lang w:val="vi-VN"/>
        </w:rPr>
        <w:t>;</w:t>
      </w:r>
    </w:p>
    <w:p w:rsidR="00DB06B1" w:rsidRPr="00DB06B1" w:rsidRDefault="00DB06B1" w:rsidP="00DB06B1">
      <w:pPr>
        <w:shd w:val="clear" w:color="auto" w:fill="FFFFFF"/>
        <w:spacing w:after="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b) Trường hợp đang xếp lương theo viên chức loại A</w:t>
      </w:r>
      <w:r w:rsidRPr="00DB06B1">
        <w:rPr>
          <w:rFonts w:ascii="Times New Roman" w:eastAsia="Times New Roman" w:hAnsi="Times New Roman" w:cs="Times New Roman"/>
          <w:color w:val="000000"/>
          <w:sz w:val="28"/>
          <w:szCs w:val="28"/>
        </w:rPr>
        <w:t>1 </w:t>
      </w:r>
      <w:r w:rsidRPr="00DB06B1">
        <w:rPr>
          <w:rFonts w:ascii="Times New Roman" w:eastAsia="Times New Roman" w:hAnsi="Times New Roman" w:cs="Times New Roman"/>
          <w:color w:val="000000"/>
          <w:sz w:val="28"/>
          <w:szCs w:val="28"/>
          <w:lang w:val="vi-VN"/>
        </w:rPr>
        <w:t>trở lên hoặc theo viên chức loại B thì được xếp lại lương theo hướng dẫn tại </w:t>
      </w:r>
      <w:bookmarkStart w:id="13" w:name="dc_1"/>
      <w:r w:rsidRPr="00DB06B1">
        <w:rPr>
          <w:rFonts w:ascii="Times New Roman" w:eastAsia="Times New Roman" w:hAnsi="Times New Roman" w:cs="Times New Roman"/>
          <w:color w:val="000000"/>
          <w:sz w:val="28"/>
          <w:szCs w:val="28"/>
          <w:lang w:val="vi-VN"/>
        </w:rPr>
        <w:t>Khoản 1 Mục II Thông tư số 02/2007/TT-BNV</w:t>
      </w:r>
      <w:bookmarkEnd w:id="13"/>
      <w:r w:rsidRPr="00DB06B1">
        <w:rPr>
          <w:rFonts w:ascii="Times New Roman" w:eastAsia="Times New Roman" w:hAnsi="Times New Roman" w:cs="Times New Roman"/>
          <w:color w:val="000000"/>
          <w:sz w:val="28"/>
          <w:szCs w:val="28"/>
          <w:lang w:val="vi-VN"/>
        </w:rPr>
        <w:t> ngày 25/5/2007 của Bộ trưởng Bộ Nội vụ hướng dẫn xếp lương khi nâng ngạch, chuyển ngạch, chuyển loại công chức, viên chức.</w:t>
      </w:r>
    </w:p>
    <w:p w:rsidR="00DB06B1" w:rsidRPr="00DB06B1" w:rsidRDefault="00DB06B1" w:rsidP="00DB06B1">
      <w:pPr>
        <w:shd w:val="clear" w:color="auto" w:fill="FFFFFF"/>
        <w:spacing w:after="0" w:line="234" w:lineRule="atLeast"/>
        <w:rPr>
          <w:rFonts w:ascii="Times New Roman" w:eastAsia="Times New Roman" w:hAnsi="Times New Roman" w:cs="Times New Roman"/>
          <w:color w:val="000000"/>
          <w:sz w:val="28"/>
          <w:szCs w:val="28"/>
        </w:rPr>
      </w:pPr>
      <w:bookmarkStart w:id="14" w:name="chuong_3"/>
      <w:r w:rsidRPr="00DB06B1">
        <w:rPr>
          <w:rFonts w:ascii="Times New Roman" w:eastAsia="Times New Roman" w:hAnsi="Times New Roman" w:cs="Times New Roman"/>
          <w:b/>
          <w:bCs/>
          <w:color w:val="000000"/>
          <w:sz w:val="28"/>
          <w:szCs w:val="28"/>
          <w:lang w:val="vi-VN"/>
        </w:rPr>
        <w:t>Chương III</w:t>
      </w:r>
      <w:bookmarkEnd w:id="14"/>
    </w:p>
    <w:p w:rsidR="00DB06B1" w:rsidRPr="00DB06B1" w:rsidRDefault="00DB06B1" w:rsidP="00DB06B1">
      <w:pPr>
        <w:shd w:val="clear" w:color="auto" w:fill="FFFFFF"/>
        <w:spacing w:after="0" w:line="234" w:lineRule="atLeast"/>
        <w:jc w:val="center"/>
        <w:rPr>
          <w:rFonts w:ascii="Times New Roman" w:eastAsia="Times New Roman" w:hAnsi="Times New Roman" w:cs="Times New Roman"/>
          <w:color w:val="000000"/>
          <w:sz w:val="28"/>
          <w:szCs w:val="28"/>
        </w:rPr>
      </w:pPr>
      <w:bookmarkStart w:id="15" w:name="chuong_3_name"/>
      <w:r w:rsidRPr="00DB06B1">
        <w:rPr>
          <w:rFonts w:ascii="Times New Roman" w:eastAsia="Times New Roman" w:hAnsi="Times New Roman" w:cs="Times New Roman"/>
          <w:b/>
          <w:bCs/>
          <w:color w:val="000000"/>
          <w:sz w:val="28"/>
          <w:szCs w:val="28"/>
          <w:lang w:val="vi-VN"/>
        </w:rPr>
        <w:lastRenderedPageBreak/>
        <w:t>ĐIỀU KHOẢN THI HÀNH</w:t>
      </w:r>
      <w:bookmarkEnd w:id="15"/>
    </w:p>
    <w:p w:rsidR="00DB06B1" w:rsidRPr="00DB06B1" w:rsidRDefault="00DB06B1" w:rsidP="00DB06B1">
      <w:pPr>
        <w:shd w:val="clear" w:color="auto" w:fill="FFFFFF"/>
        <w:spacing w:after="0" w:line="234" w:lineRule="atLeast"/>
        <w:rPr>
          <w:rFonts w:ascii="Times New Roman" w:eastAsia="Times New Roman" w:hAnsi="Times New Roman" w:cs="Times New Roman"/>
          <w:color w:val="000000"/>
          <w:sz w:val="28"/>
          <w:szCs w:val="28"/>
        </w:rPr>
      </w:pPr>
      <w:bookmarkStart w:id="16" w:name="dieu_7"/>
      <w:r w:rsidRPr="00DB06B1">
        <w:rPr>
          <w:rFonts w:ascii="Times New Roman" w:eastAsia="Times New Roman" w:hAnsi="Times New Roman" w:cs="Times New Roman"/>
          <w:b/>
          <w:bCs/>
          <w:color w:val="000000"/>
          <w:sz w:val="28"/>
          <w:szCs w:val="28"/>
          <w:lang w:val="vi-VN"/>
        </w:rPr>
        <w:t>Điều 7. Tổ chức thực hiện</w:t>
      </w:r>
      <w:bookmarkEnd w:id="16"/>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1. Thông tư này là căn cứ để thực hiện tuyển dụng, sử dụng và quản lý nhân viên giáo vụ trong trường phổ thông dân tộc nội trú (cấp huyện và cấp tỉnh); trường trung học phổ thông chuyên; trường dự bị đại học và trường dành cho người khuyết tật công lập.</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2. Các cơ sở giáo dục ngoài công lập được vận dụng quy định tại Thông tư này để thực hiện việc tuyển dụng, sử dụng và quản lý nhân viên giáo vụ tại cơ sở.</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3. Người đứng đầu các cơ sở giáo dục công lập trực tiếp quản lý và sử d</w:t>
      </w:r>
      <w:r w:rsidRPr="00DB06B1">
        <w:rPr>
          <w:rFonts w:ascii="Times New Roman" w:eastAsia="Times New Roman" w:hAnsi="Times New Roman" w:cs="Times New Roman"/>
          <w:color w:val="000000"/>
          <w:sz w:val="28"/>
          <w:szCs w:val="28"/>
        </w:rPr>
        <w:t>ụ</w:t>
      </w:r>
      <w:r w:rsidRPr="00DB06B1">
        <w:rPr>
          <w:rFonts w:ascii="Times New Roman" w:eastAsia="Times New Roman" w:hAnsi="Times New Roman" w:cs="Times New Roman"/>
          <w:color w:val="000000"/>
          <w:sz w:val="28"/>
          <w:szCs w:val="28"/>
          <w:lang w:val="vi-VN"/>
        </w:rPr>
        <w:t>ng viên chức có trách nhiệm:</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a) Rà soát các vị trí việc làm của đơn vị, lập phương án bổ nhiệm chức danh nghề nghiệp nhân viên giáo vụ thuộc thẩm quyền quản lý, trình cấp có thẩm quyền xem xét, quyết định hoặc quyết định theo thẩm quyền phân cấp;</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b) Quyết định bổ nhiệm chức danh nghề nghiệp nhân viên giáo vụ trong cơ sở giáo dục công lập theo thẩm quyền hoặc theo phân cấp, ủy quyền sau khi phương án bổ nhiệm chức danh nghề nghiệp được cấp có thẩm quyền phê duyệt.</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4. Bộ Giáo dục và Đào tạo, Ủy ban nhân dân t</w:t>
      </w:r>
      <w:r w:rsidRPr="00DB06B1">
        <w:rPr>
          <w:rFonts w:ascii="Times New Roman" w:eastAsia="Times New Roman" w:hAnsi="Times New Roman" w:cs="Times New Roman"/>
          <w:color w:val="000000"/>
          <w:sz w:val="28"/>
          <w:szCs w:val="28"/>
        </w:rPr>
        <w:t>ỉ</w:t>
      </w:r>
      <w:r w:rsidRPr="00DB06B1">
        <w:rPr>
          <w:rFonts w:ascii="Times New Roman" w:eastAsia="Times New Roman" w:hAnsi="Times New Roman" w:cs="Times New Roman"/>
          <w:color w:val="000000"/>
          <w:sz w:val="28"/>
          <w:szCs w:val="28"/>
          <w:lang w:val="vi-VN"/>
        </w:rPr>
        <w:t>nh, thành phố trực thuộc Trung ương có trách nhiệm:</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a) Chỉ đạo các đơn vị thuộc phạm vi quản lý thực hiện bổ nhiệm chức danh nghề nghiệp và xếp lương đối với nhân viên giáo vụ;</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 xml:space="preserve">b) Phê duyệt phương án bổ nhiệm chức danh nghề nghiệp và xếp lương đối với viên chức thuộc phạm vi quản lý từ ngạch hoặc chức danh nghề nghiệp viên chức </w:t>
      </w:r>
      <w:r w:rsidRPr="00DB06B1">
        <w:rPr>
          <w:rFonts w:ascii="Times New Roman" w:eastAsia="Times New Roman" w:hAnsi="Times New Roman" w:cs="Times New Roman"/>
          <w:color w:val="000000"/>
          <w:sz w:val="28"/>
          <w:szCs w:val="28"/>
          <w:lang w:val="vi-VN"/>
        </w:rPr>
        <w:lastRenderedPageBreak/>
        <w:t>hiện giữ sang chức danh nghề nghiệp nhân viên giáo vụ quy định tại Thông tư này; giải quyết theo thẩm quyền những vướng mắc trong quá trình bổ nhiệm chức danh nghề nghiệp và xếp lương;</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c) Quyết định bổ nhiệm chức danh nghề nghiệp và xếp lương đối với viên chức thuộc diện quản lý vào chức danh nghề nghiệp nhân viên giáo vụ theo thẩm quyền;</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d) Báo cáo k</w:t>
      </w:r>
      <w:r w:rsidRPr="00DB06B1">
        <w:rPr>
          <w:rFonts w:ascii="Times New Roman" w:eastAsia="Times New Roman" w:hAnsi="Times New Roman" w:cs="Times New Roman"/>
          <w:color w:val="000000"/>
          <w:sz w:val="28"/>
          <w:szCs w:val="28"/>
        </w:rPr>
        <w:t>ế</w:t>
      </w:r>
      <w:r w:rsidRPr="00DB06B1">
        <w:rPr>
          <w:rFonts w:ascii="Times New Roman" w:eastAsia="Times New Roman" w:hAnsi="Times New Roman" w:cs="Times New Roman"/>
          <w:color w:val="000000"/>
          <w:sz w:val="28"/>
          <w:szCs w:val="28"/>
          <w:lang w:val="vi-VN"/>
        </w:rPr>
        <w:t>t quả bổ nhiệm chức danh nghề nghiệp và x</w:t>
      </w:r>
      <w:r w:rsidRPr="00DB06B1">
        <w:rPr>
          <w:rFonts w:ascii="Times New Roman" w:eastAsia="Times New Roman" w:hAnsi="Times New Roman" w:cs="Times New Roman"/>
          <w:color w:val="000000"/>
          <w:sz w:val="28"/>
          <w:szCs w:val="28"/>
        </w:rPr>
        <w:t>ế</w:t>
      </w:r>
      <w:r w:rsidRPr="00DB06B1">
        <w:rPr>
          <w:rFonts w:ascii="Times New Roman" w:eastAsia="Times New Roman" w:hAnsi="Times New Roman" w:cs="Times New Roman"/>
          <w:color w:val="000000"/>
          <w:sz w:val="28"/>
          <w:szCs w:val="28"/>
          <w:lang w:val="vi-VN"/>
        </w:rPr>
        <w:t>p lương đối với nhân viên giáo vụ thuộc phạm vi quản lý gửi Bộ Giáo dục và Đào tạo.</w:t>
      </w:r>
    </w:p>
    <w:p w:rsidR="00DB06B1" w:rsidRPr="00DB06B1" w:rsidRDefault="00DB06B1" w:rsidP="00DB06B1">
      <w:pPr>
        <w:shd w:val="clear" w:color="auto" w:fill="FFFFFF"/>
        <w:spacing w:after="0" w:line="234" w:lineRule="atLeast"/>
        <w:rPr>
          <w:rFonts w:ascii="Times New Roman" w:eastAsia="Times New Roman" w:hAnsi="Times New Roman" w:cs="Times New Roman"/>
          <w:color w:val="000000"/>
          <w:sz w:val="28"/>
          <w:szCs w:val="28"/>
        </w:rPr>
      </w:pPr>
      <w:bookmarkStart w:id="17" w:name="dieu_8"/>
      <w:r w:rsidRPr="00DB06B1">
        <w:rPr>
          <w:rFonts w:ascii="Times New Roman" w:eastAsia="Times New Roman" w:hAnsi="Times New Roman" w:cs="Times New Roman"/>
          <w:b/>
          <w:bCs/>
          <w:color w:val="000000"/>
          <w:sz w:val="28"/>
          <w:szCs w:val="28"/>
          <w:lang w:val="vi-VN"/>
        </w:rPr>
        <w:t>Điều 8. Hiệu lực và trách nhiệm thi hành</w:t>
      </w:r>
      <w:bookmarkEnd w:id="17"/>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1. Thông tư này có hiệu lực thi hành kể từ ng</w:t>
      </w:r>
      <w:r w:rsidRPr="00DB06B1">
        <w:rPr>
          <w:rFonts w:ascii="Times New Roman" w:eastAsia="Times New Roman" w:hAnsi="Times New Roman" w:cs="Times New Roman"/>
          <w:color w:val="000000"/>
          <w:sz w:val="28"/>
          <w:szCs w:val="28"/>
        </w:rPr>
        <w:t>ày 17</w:t>
      </w:r>
      <w:r w:rsidRPr="00DB06B1">
        <w:rPr>
          <w:rFonts w:ascii="Times New Roman" w:eastAsia="Times New Roman" w:hAnsi="Times New Roman" w:cs="Times New Roman"/>
          <w:color w:val="000000"/>
          <w:sz w:val="28"/>
          <w:szCs w:val="28"/>
          <w:lang w:val="vi-VN"/>
        </w:rPr>
        <w:t> tháng </w:t>
      </w:r>
      <w:r w:rsidRPr="00DB06B1">
        <w:rPr>
          <w:rFonts w:ascii="Times New Roman" w:eastAsia="Times New Roman" w:hAnsi="Times New Roman" w:cs="Times New Roman"/>
          <w:color w:val="000000"/>
          <w:sz w:val="28"/>
          <w:szCs w:val="28"/>
        </w:rPr>
        <w:t>6</w:t>
      </w:r>
      <w:r w:rsidRPr="00DB06B1">
        <w:rPr>
          <w:rFonts w:ascii="Times New Roman" w:eastAsia="Times New Roman" w:hAnsi="Times New Roman" w:cs="Times New Roman"/>
          <w:color w:val="000000"/>
          <w:sz w:val="28"/>
          <w:szCs w:val="28"/>
          <w:lang w:val="vi-VN"/>
        </w:rPr>
        <w:t> năm 201</w:t>
      </w:r>
      <w:r w:rsidRPr="00DB06B1">
        <w:rPr>
          <w:rFonts w:ascii="Times New Roman" w:eastAsia="Times New Roman" w:hAnsi="Times New Roman" w:cs="Times New Roman"/>
          <w:color w:val="000000"/>
          <w:sz w:val="28"/>
          <w:szCs w:val="28"/>
        </w:rPr>
        <w:t>9</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lang w:val="vi-VN"/>
        </w:rPr>
        <w:t>2. Chánh Văn phòng, Cục trưởng Cục Nhà giáo và Cán bộ quản lý giáo dục; Vụ trưởng Vụ Tổ chức cán bộ; thủ trưởng các đơn vị có liên quan thuộc Bộ Giáo dục và Đào tạo; Chủ tịch Ủy ban nhân dân tỉnh, thành phố trực thuộc Trung ương; Giám đốc các sở giáo dục và đào tạo; cơ quan, tổ chức và cá nhân liên quan có </w:t>
      </w:r>
      <w:r w:rsidRPr="00DB06B1">
        <w:rPr>
          <w:rFonts w:ascii="Times New Roman" w:eastAsia="Times New Roman" w:hAnsi="Times New Roman" w:cs="Times New Roman"/>
          <w:color w:val="000000"/>
          <w:sz w:val="28"/>
          <w:szCs w:val="28"/>
        </w:rPr>
        <w:t>trách nhiệm thực hiện Thông tư này./.</w:t>
      </w:r>
    </w:p>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DB06B1" w:rsidRPr="00DB06B1" w:rsidTr="00DB06B1">
        <w:trPr>
          <w:tblCellSpacing w:w="0" w:type="dxa"/>
        </w:trPr>
        <w:tc>
          <w:tcPr>
            <w:tcW w:w="4808" w:type="dxa"/>
            <w:shd w:val="clear" w:color="auto" w:fill="FFFFFF"/>
            <w:tcMar>
              <w:top w:w="0" w:type="dxa"/>
              <w:left w:w="108" w:type="dxa"/>
              <w:bottom w:w="0" w:type="dxa"/>
              <w:right w:w="108" w:type="dxa"/>
            </w:tcMar>
            <w:hideMark/>
          </w:tcPr>
          <w:p w:rsidR="00DB06B1" w:rsidRPr="00DB06B1" w:rsidRDefault="00DB06B1" w:rsidP="00DB06B1">
            <w:pPr>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b/>
                <w:bCs/>
                <w:i/>
                <w:iCs/>
                <w:color w:val="000000"/>
                <w:sz w:val="28"/>
                <w:szCs w:val="28"/>
                <w:lang w:val="vi-VN"/>
              </w:rPr>
              <w:br/>
              <w:t>Nơi nhận:</w:t>
            </w:r>
            <w:r w:rsidRPr="00DB06B1">
              <w:rPr>
                <w:rFonts w:ascii="Times New Roman" w:eastAsia="Times New Roman" w:hAnsi="Times New Roman" w:cs="Times New Roman"/>
                <w:b/>
                <w:bCs/>
                <w:i/>
                <w:iCs/>
                <w:color w:val="000000"/>
                <w:sz w:val="28"/>
                <w:szCs w:val="28"/>
                <w:lang w:val="vi-VN"/>
              </w:rPr>
              <w:br/>
            </w:r>
            <w:r w:rsidRPr="00DB06B1">
              <w:rPr>
                <w:rFonts w:ascii="Times New Roman" w:eastAsia="Times New Roman" w:hAnsi="Times New Roman" w:cs="Times New Roman"/>
                <w:color w:val="000000"/>
                <w:sz w:val="28"/>
                <w:szCs w:val="28"/>
                <w:lang w:val="vi-VN"/>
              </w:rPr>
              <w:t>- Văn phòng Trung ương Đảng;</w:t>
            </w:r>
            <w:r w:rsidRPr="00DB06B1">
              <w:rPr>
                <w:rFonts w:ascii="Times New Roman" w:eastAsia="Times New Roman" w:hAnsi="Times New Roman" w:cs="Times New Roman"/>
                <w:color w:val="000000"/>
                <w:sz w:val="28"/>
                <w:szCs w:val="28"/>
                <w:lang w:val="vi-VN"/>
              </w:rPr>
              <w:br/>
              <w:t>- Văn phòng Tổng Bí thư;</w:t>
            </w:r>
            <w:r w:rsidRPr="00DB06B1">
              <w:rPr>
                <w:rFonts w:ascii="Times New Roman" w:eastAsia="Times New Roman" w:hAnsi="Times New Roman" w:cs="Times New Roman"/>
                <w:color w:val="000000"/>
                <w:sz w:val="28"/>
                <w:szCs w:val="28"/>
                <w:lang w:val="vi-VN"/>
              </w:rPr>
              <w:br/>
              <w:t>- Văn phòng Chủ tịch nước;</w:t>
            </w:r>
            <w:r w:rsidRPr="00DB06B1">
              <w:rPr>
                <w:rFonts w:ascii="Times New Roman" w:eastAsia="Times New Roman" w:hAnsi="Times New Roman" w:cs="Times New Roman"/>
                <w:color w:val="000000"/>
                <w:sz w:val="28"/>
                <w:szCs w:val="28"/>
                <w:lang w:val="vi-VN"/>
              </w:rPr>
              <w:br/>
              <w:t>- Văn phòng Quốc hội;</w:t>
            </w:r>
            <w:r w:rsidRPr="00DB06B1">
              <w:rPr>
                <w:rFonts w:ascii="Times New Roman" w:eastAsia="Times New Roman" w:hAnsi="Times New Roman" w:cs="Times New Roman"/>
                <w:color w:val="000000"/>
                <w:sz w:val="28"/>
                <w:szCs w:val="28"/>
                <w:lang w:val="vi-VN"/>
              </w:rPr>
              <w:br/>
              <w:t>- Ủy ban VHGDTTNNĐ của Quốc hội;</w:t>
            </w:r>
            <w:r w:rsidRPr="00DB06B1">
              <w:rPr>
                <w:rFonts w:ascii="Times New Roman" w:eastAsia="Times New Roman" w:hAnsi="Times New Roman" w:cs="Times New Roman"/>
                <w:color w:val="000000"/>
                <w:sz w:val="28"/>
                <w:szCs w:val="28"/>
                <w:lang w:val="vi-VN"/>
              </w:rPr>
              <w:br/>
            </w:r>
            <w:r w:rsidRPr="00DB06B1">
              <w:rPr>
                <w:rFonts w:ascii="Times New Roman" w:eastAsia="Times New Roman" w:hAnsi="Times New Roman" w:cs="Times New Roman"/>
                <w:color w:val="000000"/>
                <w:sz w:val="28"/>
                <w:szCs w:val="28"/>
                <w:lang w:val="vi-VN"/>
              </w:rPr>
              <w:lastRenderedPageBreak/>
              <w:t>- Ban Tuyên giáo Trung ương;</w:t>
            </w:r>
            <w:r w:rsidRPr="00DB06B1">
              <w:rPr>
                <w:rFonts w:ascii="Times New Roman" w:eastAsia="Times New Roman" w:hAnsi="Times New Roman" w:cs="Times New Roman"/>
                <w:color w:val="000000"/>
                <w:sz w:val="28"/>
                <w:szCs w:val="28"/>
                <w:lang w:val="vi-VN"/>
              </w:rPr>
              <w:br/>
              <w:t>- Bộ trưởng;</w:t>
            </w:r>
            <w:r w:rsidRPr="00DB06B1">
              <w:rPr>
                <w:rFonts w:ascii="Times New Roman" w:eastAsia="Times New Roman" w:hAnsi="Times New Roman" w:cs="Times New Roman"/>
                <w:color w:val="000000"/>
                <w:sz w:val="28"/>
                <w:szCs w:val="28"/>
                <w:lang w:val="vi-VN"/>
              </w:rPr>
              <w:br/>
              <w:t>- Cục Kiểm tra VBQPPL (Bộ Tư pháp);</w:t>
            </w:r>
            <w:r w:rsidRPr="00DB06B1">
              <w:rPr>
                <w:rFonts w:ascii="Times New Roman" w:eastAsia="Times New Roman" w:hAnsi="Times New Roman" w:cs="Times New Roman"/>
                <w:color w:val="000000"/>
                <w:sz w:val="28"/>
                <w:szCs w:val="28"/>
                <w:lang w:val="vi-VN"/>
              </w:rPr>
              <w:br/>
              <w:t>- Ủy ban Quốc gia đổi mới giáo dục và đào tạo;</w:t>
            </w:r>
            <w:r w:rsidRPr="00DB06B1">
              <w:rPr>
                <w:rFonts w:ascii="Times New Roman" w:eastAsia="Times New Roman" w:hAnsi="Times New Roman" w:cs="Times New Roman"/>
                <w:color w:val="000000"/>
                <w:sz w:val="28"/>
                <w:szCs w:val="28"/>
                <w:lang w:val="vi-VN"/>
              </w:rPr>
              <w:br/>
              <w:t>- Hội đồng Quốc gia Giáo dục và Phát triển nhân lực;</w:t>
            </w:r>
            <w:r w:rsidRPr="00DB06B1">
              <w:rPr>
                <w:rFonts w:ascii="Times New Roman" w:eastAsia="Times New Roman" w:hAnsi="Times New Roman" w:cs="Times New Roman"/>
                <w:color w:val="000000"/>
                <w:sz w:val="28"/>
                <w:szCs w:val="28"/>
                <w:lang w:val="vi-VN"/>
              </w:rPr>
              <w:br/>
              <w:t>- Các Bộ, cơ quan ngang Bộ, cơ quan thuộc Chính phủ;</w:t>
            </w:r>
            <w:r w:rsidRPr="00DB06B1">
              <w:rPr>
                <w:rFonts w:ascii="Times New Roman" w:eastAsia="Times New Roman" w:hAnsi="Times New Roman" w:cs="Times New Roman"/>
                <w:color w:val="000000"/>
                <w:sz w:val="28"/>
                <w:szCs w:val="28"/>
                <w:lang w:val="vi-VN"/>
              </w:rPr>
              <w:br/>
              <w:t>- HĐND, UBND các tỉnh, thành phố trực thuộc TƯ;</w:t>
            </w:r>
            <w:r w:rsidRPr="00DB06B1">
              <w:rPr>
                <w:rFonts w:ascii="Times New Roman" w:eastAsia="Times New Roman" w:hAnsi="Times New Roman" w:cs="Times New Roman"/>
                <w:color w:val="000000"/>
                <w:sz w:val="28"/>
                <w:szCs w:val="28"/>
                <w:lang w:val="vi-VN"/>
              </w:rPr>
              <w:br/>
              <w:t>- Như Điều</w:t>
            </w:r>
            <w:r w:rsidRPr="00DB06B1">
              <w:rPr>
                <w:rFonts w:ascii="Times New Roman" w:eastAsia="Times New Roman" w:hAnsi="Times New Roman" w:cs="Times New Roman"/>
                <w:color w:val="000000"/>
                <w:sz w:val="28"/>
                <w:szCs w:val="28"/>
              </w:rPr>
              <w:t> 8 </w:t>
            </w:r>
            <w:r w:rsidRPr="00DB06B1">
              <w:rPr>
                <w:rFonts w:ascii="Times New Roman" w:eastAsia="Times New Roman" w:hAnsi="Times New Roman" w:cs="Times New Roman"/>
                <w:color w:val="000000"/>
                <w:sz w:val="28"/>
                <w:szCs w:val="28"/>
                <w:lang w:val="vi-VN"/>
              </w:rPr>
              <w:t>(để thực hiện);</w:t>
            </w:r>
            <w:r w:rsidRPr="00DB06B1">
              <w:rPr>
                <w:rFonts w:ascii="Times New Roman" w:eastAsia="Times New Roman" w:hAnsi="Times New Roman" w:cs="Times New Roman"/>
                <w:color w:val="000000"/>
                <w:sz w:val="28"/>
                <w:szCs w:val="28"/>
                <w:lang w:val="vi-VN"/>
              </w:rPr>
              <w:br/>
              <w:t>- Công báo;</w:t>
            </w:r>
            <w:r w:rsidRPr="00DB06B1">
              <w:rPr>
                <w:rFonts w:ascii="Times New Roman" w:eastAsia="Times New Roman" w:hAnsi="Times New Roman" w:cs="Times New Roman"/>
                <w:color w:val="000000"/>
                <w:sz w:val="28"/>
                <w:szCs w:val="28"/>
                <w:lang w:val="vi-VN"/>
              </w:rPr>
              <w:br/>
              <w:t>- Website của Chính phủ;</w:t>
            </w:r>
            <w:r w:rsidRPr="00DB06B1">
              <w:rPr>
                <w:rFonts w:ascii="Times New Roman" w:eastAsia="Times New Roman" w:hAnsi="Times New Roman" w:cs="Times New Roman"/>
                <w:color w:val="000000"/>
                <w:sz w:val="28"/>
                <w:szCs w:val="28"/>
                <w:lang w:val="vi-VN"/>
              </w:rPr>
              <w:br/>
              <w:t>- Website của Bộ Giáo dục và Đào tạo;</w:t>
            </w:r>
            <w:r w:rsidRPr="00DB06B1">
              <w:rPr>
                <w:rFonts w:ascii="Times New Roman" w:eastAsia="Times New Roman" w:hAnsi="Times New Roman" w:cs="Times New Roman"/>
                <w:color w:val="000000"/>
                <w:sz w:val="28"/>
                <w:szCs w:val="28"/>
                <w:lang w:val="vi-VN"/>
              </w:rPr>
              <w:br/>
              <w:t>- Lưu: VT, Vụ PC, Cục NGCBQLGD (10 bản).</w:t>
            </w:r>
          </w:p>
        </w:tc>
        <w:tc>
          <w:tcPr>
            <w:tcW w:w="4048" w:type="dxa"/>
            <w:shd w:val="clear" w:color="auto" w:fill="FFFFFF"/>
            <w:tcMar>
              <w:top w:w="0" w:type="dxa"/>
              <w:left w:w="108" w:type="dxa"/>
              <w:bottom w:w="0" w:type="dxa"/>
              <w:right w:w="108" w:type="dxa"/>
            </w:tcMar>
            <w:hideMark/>
          </w:tcPr>
          <w:p w:rsidR="00DB06B1" w:rsidRPr="00DB06B1" w:rsidRDefault="00DB06B1" w:rsidP="00DB06B1">
            <w:pPr>
              <w:spacing w:before="120" w:after="120" w:line="234" w:lineRule="atLeast"/>
              <w:jc w:val="center"/>
              <w:rPr>
                <w:rFonts w:ascii="Times New Roman" w:eastAsia="Times New Roman" w:hAnsi="Times New Roman" w:cs="Times New Roman"/>
                <w:color w:val="000000"/>
                <w:sz w:val="28"/>
                <w:szCs w:val="28"/>
              </w:rPr>
            </w:pPr>
            <w:r w:rsidRPr="00DB06B1">
              <w:rPr>
                <w:rFonts w:ascii="Times New Roman" w:eastAsia="Times New Roman" w:hAnsi="Times New Roman" w:cs="Times New Roman"/>
                <w:b/>
                <w:bCs/>
                <w:color w:val="000000"/>
                <w:sz w:val="28"/>
                <w:szCs w:val="28"/>
                <w:lang w:val="vi-VN"/>
              </w:rPr>
              <w:lastRenderedPageBreak/>
              <w:t>KT. </w:t>
            </w:r>
            <w:r w:rsidRPr="00DB06B1">
              <w:rPr>
                <w:rFonts w:ascii="Times New Roman" w:eastAsia="Times New Roman" w:hAnsi="Times New Roman" w:cs="Times New Roman"/>
                <w:b/>
                <w:bCs/>
                <w:color w:val="000000"/>
                <w:sz w:val="28"/>
                <w:szCs w:val="28"/>
              </w:rPr>
              <w:t>BỘ TRƯỞNG</w:t>
            </w:r>
            <w:r w:rsidRPr="00DB06B1">
              <w:rPr>
                <w:rFonts w:ascii="Times New Roman" w:eastAsia="Times New Roman" w:hAnsi="Times New Roman" w:cs="Times New Roman"/>
                <w:b/>
                <w:bCs/>
                <w:color w:val="000000"/>
                <w:sz w:val="28"/>
                <w:szCs w:val="28"/>
                <w:lang w:val="vi-VN"/>
              </w:rPr>
              <w:br/>
            </w:r>
            <w:r w:rsidRPr="00DB06B1">
              <w:rPr>
                <w:rFonts w:ascii="Times New Roman" w:eastAsia="Times New Roman" w:hAnsi="Times New Roman" w:cs="Times New Roman"/>
                <w:b/>
                <w:bCs/>
                <w:color w:val="000000"/>
                <w:sz w:val="28"/>
                <w:szCs w:val="28"/>
              </w:rPr>
              <w:t>THỨ TRƯỞNG</w:t>
            </w:r>
            <w:r w:rsidRPr="00DB06B1">
              <w:rPr>
                <w:rFonts w:ascii="Times New Roman" w:eastAsia="Times New Roman" w:hAnsi="Times New Roman" w:cs="Times New Roman"/>
                <w:b/>
                <w:bCs/>
                <w:color w:val="000000"/>
                <w:sz w:val="28"/>
                <w:szCs w:val="28"/>
                <w:lang w:val="vi-VN"/>
              </w:rPr>
              <w:br/>
            </w:r>
            <w:r w:rsidRPr="00DB06B1">
              <w:rPr>
                <w:rFonts w:ascii="Times New Roman" w:eastAsia="Times New Roman" w:hAnsi="Times New Roman" w:cs="Times New Roman"/>
                <w:b/>
                <w:bCs/>
                <w:color w:val="000000"/>
                <w:sz w:val="28"/>
                <w:szCs w:val="28"/>
                <w:lang w:val="vi-VN"/>
              </w:rPr>
              <w:br/>
            </w:r>
            <w:r w:rsidRPr="00DB06B1">
              <w:rPr>
                <w:rFonts w:ascii="Times New Roman" w:eastAsia="Times New Roman" w:hAnsi="Times New Roman" w:cs="Times New Roman"/>
                <w:b/>
                <w:bCs/>
                <w:color w:val="000000"/>
                <w:sz w:val="28"/>
                <w:szCs w:val="28"/>
                <w:lang w:val="vi-VN"/>
              </w:rPr>
              <w:br/>
            </w:r>
            <w:r w:rsidRPr="00DB06B1">
              <w:rPr>
                <w:rFonts w:ascii="Times New Roman" w:eastAsia="Times New Roman" w:hAnsi="Times New Roman" w:cs="Times New Roman"/>
                <w:b/>
                <w:bCs/>
                <w:color w:val="000000"/>
                <w:sz w:val="28"/>
                <w:szCs w:val="28"/>
                <w:lang w:val="vi-VN"/>
              </w:rPr>
              <w:br/>
            </w:r>
            <w:r w:rsidRPr="00DB06B1">
              <w:rPr>
                <w:rFonts w:ascii="Times New Roman" w:eastAsia="Times New Roman" w:hAnsi="Times New Roman" w:cs="Times New Roman"/>
                <w:b/>
                <w:bCs/>
                <w:color w:val="000000"/>
                <w:sz w:val="28"/>
                <w:szCs w:val="28"/>
                <w:lang w:val="vi-VN"/>
              </w:rPr>
              <w:br/>
            </w:r>
            <w:r w:rsidRPr="00DB06B1">
              <w:rPr>
                <w:rFonts w:ascii="Times New Roman" w:eastAsia="Times New Roman" w:hAnsi="Times New Roman" w:cs="Times New Roman"/>
                <w:b/>
                <w:bCs/>
                <w:color w:val="000000"/>
                <w:sz w:val="28"/>
                <w:szCs w:val="28"/>
              </w:rPr>
              <w:t>Nguyễn Hữu Độ</w:t>
            </w:r>
          </w:p>
        </w:tc>
      </w:tr>
    </w:tbl>
    <w:p w:rsidR="00DB06B1" w:rsidRPr="00DB06B1" w:rsidRDefault="00DB06B1" w:rsidP="00DB06B1">
      <w:pPr>
        <w:shd w:val="clear" w:color="auto" w:fill="FFFFFF"/>
        <w:spacing w:before="120" w:after="120" w:line="234" w:lineRule="atLeast"/>
        <w:rPr>
          <w:rFonts w:ascii="Times New Roman" w:eastAsia="Times New Roman" w:hAnsi="Times New Roman" w:cs="Times New Roman"/>
          <w:color w:val="000000"/>
          <w:sz w:val="28"/>
          <w:szCs w:val="28"/>
        </w:rPr>
      </w:pPr>
      <w:r w:rsidRPr="00DB06B1">
        <w:rPr>
          <w:rFonts w:ascii="Times New Roman" w:eastAsia="Times New Roman" w:hAnsi="Times New Roman" w:cs="Times New Roman"/>
          <w:color w:val="000000"/>
          <w:sz w:val="28"/>
          <w:szCs w:val="28"/>
        </w:rPr>
        <w:lastRenderedPageBreak/>
        <w:t> </w:t>
      </w:r>
    </w:p>
    <w:p w:rsidR="00DB06B1" w:rsidRPr="00DB06B1" w:rsidRDefault="00DB06B1">
      <w:pPr>
        <w:rPr>
          <w:rFonts w:ascii="Times New Roman" w:hAnsi="Times New Roman" w:cs="Times New Roman"/>
          <w:sz w:val="28"/>
          <w:szCs w:val="28"/>
        </w:rPr>
      </w:pPr>
    </w:p>
    <w:sectPr w:rsidR="00DB06B1" w:rsidRPr="00DB06B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424" w:rsidRDefault="00161424" w:rsidP="00DB06B1">
      <w:pPr>
        <w:spacing w:after="0" w:line="240" w:lineRule="auto"/>
      </w:pPr>
      <w:r>
        <w:separator/>
      </w:r>
    </w:p>
  </w:endnote>
  <w:endnote w:type="continuationSeparator" w:id="0">
    <w:p w:rsidR="00161424" w:rsidRDefault="00161424" w:rsidP="00DB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6B1" w:rsidRDefault="00DB06B1">
    <w:pPr>
      <w:pStyle w:val="Footer"/>
      <w:tabs>
        <w:tab w:val="clear" w:pos="4680"/>
        <w:tab w:val="clear" w:pos="9360"/>
      </w:tabs>
      <w:jc w:val="center"/>
      <w:rPr>
        <w:caps/>
        <w:color w:val="5B9BD5" w:themeColor="accent1"/>
      </w:rPr>
    </w:pPr>
  </w:p>
  <w:p w:rsidR="00DB06B1" w:rsidRDefault="00DB06B1">
    <w:pPr>
      <w:pStyle w:val="Footer"/>
      <w:tabs>
        <w:tab w:val="clear" w:pos="4680"/>
        <w:tab w:val="clear" w:pos="9360"/>
      </w:tabs>
      <w:jc w:val="center"/>
      <w:rPr>
        <w:caps/>
        <w:color w:val="5B9BD5" w:themeColor="accent1"/>
      </w:rPr>
    </w:pPr>
  </w:p>
  <w:p w:rsidR="00DB06B1" w:rsidRDefault="00DB06B1">
    <w:pPr>
      <w:pStyle w:val="Footer"/>
      <w:tabs>
        <w:tab w:val="clear" w:pos="4680"/>
        <w:tab w:val="clear" w:pos="9360"/>
      </w:tabs>
      <w:jc w:val="center"/>
      <w:rPr>
        <w:caps/>
        <w:color w:val="5B9BD5" w:themeColor="accent1"/>
      </w:rPr>
    </w:pPr>
  </w:p>
  <w:p w:rsidR="00DB06B1" w:rsidRDefault="00DB06B1">
    <w:pPr>
      <w:pStyle w:val="Footer"/>
      <w:tabs>
        <w:tab w:val="clear" w:pos="4680"/>
        <w:tab w:val="clear" w:pos="9360"/>
      </w:tabs>
      <w:jc w:val="center"/>
      <w:rPr>
        <w:caps/>
        <w:color w:val="5B9BD5" w:themeColor="accent1"/>
      </w:rPr>
    </w:pPr>
  </w:p>
  <w:p w:rsidR="00DB06B1" w:rsidRDefault="00DB06B1">
    <w:pPr>
      <w:pStyle w:val="Footer"/>
      <w:tabs>
        <w:tab w:val="clear" w:pos="4680"/>
        <w:tab w:val="clear" w:pos="9360"/>
      </w:tabs>
      <w:jc w:val="center"/>
      <w:rPr>
        <w:caps/>
        <w:color w:val="5B9BD5" w:themeColor="accent1"/>
      </w:rPr>
    </w:pPr>
  </w:p>
  <w:p w:rsidR="00DB06B1" w:rsidRDefault="00DB06B1">
    <w:pPr>
      <w:pStyle w:val="Footer"/>
      <w:tabs>
        <w:tab w:val="clear" w:pos="4680"/>
        <w:tab w:val="clear" w:pos="9360"/>
      </w:tabs>
      <w:jc w:val="center"/>
      <w:rPr>
        <w:caps/>
        <w:color w:val="5B9BD5" w:themeColor="accent1"/>
      </w:rPr>
    </w:pPr>
  </w:p>
  <w:p w:rsidR="00DB06B1" w:rsidRDefault="00DB06B1">
    <w:pPr>
      <w:pStyle w:val="Footer"/>
      <w:tabs>
        <w:tab w:val="clear" w:pos="4680"/>
        <w:tab w:val="clear" w:pos="9360"/>
      </w:tabs>
      <w:jc w:val="center"/>
      <w:rPr>
        <w:caps/>
        <w:color w:val="5B9BD5" w:themeColor="accent1"/>
      </w:rPr>
    </w:pPr>
  </w:p>
  <w:p w:rsidR="00DB06B1" w:rsidRDefault="00DB06B1">
    <w:pPr>
      <w:pStyle w:val="Footer"/>
      <w:tabs>
        <w:tab w:val="clear" w:pos="4680"/>
        <w:tab w:val="clear" w:pos="9360"/>
      </w:tabs>
      <w:jc w:val="center"/>
      <w:rPr>
        <w:caps/>
        <w:color w:val="5B9BD5" w:themeColor="accent1"/>
      </w:rPr>
    </w:pPr>
  </w:p>
  <w:p w:rsidR="00DB06B1" w:rsidRDefault="00DB06B1">
    <w:pPr>
      <w:pStyle w:val="Footer"/>
      <w:tabs>
        <w:tab w:val="clear" w:pos="4680"/>
        <w:tab w:val="clear" w:pos="9360"/>
      </w:tabs>
      <w:jc w:val="center"/>
      <w:rPr>
        <w:caps/>
        <w:color w:val="5B9BD5" w:themeColor="accent1"/>
      </w:rPr>
    </w:pPr>
  </w:p>
  <w:p w:rsidR="00DB06B1" w:rsidRDefault="00DB06B1">
    <w:pPr>
      <w:pStyle w:val="Footer"/>
      <w:tabs>
        <w:tab w:val="clear" w:pos="4680"/>
        <w:tab w:val="clear" w:pos="9360"/>
      </w:tabs>
      <w:jc w:val="center"/>
      <w:rPr>
        <w:caps/>
        <w:color w:val="5B9BD5" w:themeColor="accent1"/>
      </w:rPr>
    </w:pPr>
  </w:p>
  <w:p w:rsidR="00DB06B1" w:rsidRDefault="00DB06B1">
    <w:pPr>
      <w:pStyle w:val="Footer"/>
      <w:tabs>
        <w:tab w:val="clear" w:pos="4680"/>
        <w:tab w:val="clear" w:pos="9360"/>
      </w:tabs>
      <w:jc w:val="center"/>
      <w:rPr>
        <w:caps/>
        <w:color w:val="5B9BD5" w:themeColor="accent1"/>
      </w:rPr>
    </w:pPr>
  </w:p>
  <w:p w:rsidR="00DB06B1" w:rsidRDefault="00DB06B1">
    <w:pPr>
      <w:pStyle w:val="Footer"/>
      <w:tabs>
        <w:tab w:val="clear" w:pos="4680"/>
        <w:tab w:val="clear" w:pos="9360"/>
      </w:tabs>
      <w:jc w:val="center"/>
      <w:rPr>
        <w:caps/>
        <w:color w:val="5B9BD5" w:themeColor="accent1"/>
      </w:rPr>
    </w:pPr>
  </w:p>
  <w:p w:rsidR="00DB06B1" w:rsidRPr="00FD3BA7" w:rsidRDefault="00DB06B1" w:rsidP="00DB06B1">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DB06B1" w:rsidRPr="00FD3BA7" w:rsidRDefault="00DB06B1" w:rsidP="00DB06B1">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DB06B1" w:rsidRPr="00FD3BA7" w:rsidRDefault="00DB06B1" w:rsidP="00DB06B1">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DB06B1" w:rsidRDefault="00DB06B1" w:rsidP="00DB06B1">
    <w:pPr>
      <w:rPr>
        <w:rFonts w:ascii="Times New Roman" w:hAnsi="Times New Roman" w:cs="Times New Roman"/>
      </w:rPr>
    </w:pPr>
  </w:p>
  <w:p w:rsidR="00DB06B1" w:rsidRDefault="00DB06B1" w:rsidP="00DB06B1">
    <w:pPr>
      <w:spacing w:before="150" w:after="150" w:line="240" w:lineRule="auto"/>
      <w:rPr>
        <w:rFonts w:ascii="Times New Roman" w:eastAsia="Times New Roman" w:hAnsi="Times New Roman" w:cs="Times New Roman"/>
        <w:sz w:val="28"/>
        <w:szCs w:val="28"/>
      </w:rPr>
    </w:pPr>
  </w:p>
  <w:p w:rsidR="00DB06B1" w:rsidRDefault="00DB06B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D7599">
      <w:rPr>
        <w:caps/>
        <w:noProof/>
        <w:color w:val="5B9BD5" w:themeColor="accent1"/>
      </w:rPr>
      <w:t>2</w:t>
    </w:r>
    <w:r>
      <w:rPr>
        <w:caps/>
        <w:noProof/>
        <w:color w:val="5B9BD5" w:themeColor="accent1"/>
      </w:rPr>
      <w:fldChar w:fldCharType="end"/>
    </w:r>
  </w:p>
  <w:p w:rsidR="00DB06B1" w:rsidRDefault="00DB0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424" w:rsidRDefault="00161424" w:rsidP="00DB06B1">
      <w:pPr>
        <w:spacing w:after="0" w:line="240" w:lineRule="auto"/>
      </w:pPr>
      <w:r>
        <w:separator/>
      </w:r>
    </w:p>
  </w:footnote>
  <w:footnote w:type="continuationSeparator" w:id="0">
    <w:p w:rsidR="00161424" w:rsidRDefault="00161424" w:rsidP="00DB06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B1"/>
    <w:rsid w:val="00161424"/>
    <w:rsid w:val="001D7599"/>
    <w:rsid w:val="00D547EA"/>
    <w:rsid w:val="00DB0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9F635-6111-4D29-B36A-3FE70B3F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06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0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6B1"/>
  </w:style>
  <w:style w:type="paragraph" w:styleId="Footer">
    <w:name w:val="footer"/>
    <w:basedOn w:val="Normal"/>
    <w:link w:val="FooterChar"/>
    <w:uiPriority w:val="99"/>
    <w:unhideWhenUsed/>
    <w:rsid w:val="00DB0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2019-06-13T03:49:00Z</dcterms:created>
  <dcterms:modified xsi:type="dcterms:W3CDTF">2019-06-13T04:18:00Z</dcterms:modified>
</cp:coreProperties>
</file>